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B03" w:rsidRDefault="00000000">
      <w:pPr>
        <w:jc w:val="center"/>
        <w:rPr>
          <w:b/>
        </w:rPr>
      </w:pPr>
      <w:r>
        <w:rPr>
          <w:b/>
        </w:rPr>
        <w:t xml:space="preserve">СОГЛАШЕНИЕ </w:t>
      </w:r>
    </w:p>
    <w:p w:rsidR="00755B03" w:rsidRDefault="00000000">
      <w:pPr>
        <w:jc w:val="center"/>
        <w:rPr>
          <w:b/>
        </w:rPr>
      </w:pPr>
      <w:r>
        <w:rPr>
          <w:b/>
        </w:rPr>
        <w:t>ОБ ОБМЕНЕ ЭЛЕКТРОННЫМИ ДОКУМЕНТАМИ</w:t>
      </w:r>
    </w:p>
    <w:p w:rsidR="00755B03" w:rsidRDefault="00755B03"/>
    <w:p w:rsidR="00755B03" w:rsidRDefault="00000000" w:rsidP="007A33BE">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sidR="007A33BE">
        <w:rPr>
          <w:sz w:val="22"/>
          <w:szCs w:val="22"/>
        </w:rPr>
        <w:t>дата</w:t>
      </w:r>
      <w:r>
        <w:rPr>
          <w:sz w:val="22"/>
          <w:szCs w:val="22"/>
        </w:rPr>
        <w:t> г.</w:t>
      </w:r>
    </w:p>
    <w:p w:rsidR="00755B03" w:rsidRDefault="00755B03">
      <w:pPr>
        <w:rPr>
          <w:sz w:val="22"/>
          <w:szCs w:val="22"/>
        </w:rPr>
      </w:pPr>
    </w:p>
    <w:p w:rsidR="00755B03" w:rsidRDefault="00000000">
      <w:pPr>
        <w:jc w:val="both"/>
        <w:rPr>
          <w:sz w:val="22"/>
          <w:szCs w:val="22"/>
        </w:rPr>
      </w:pPr>
      <w:r>
        <w:rPr>
          <w:sz w:val="22"/>
          <w:szCs w:val="22"/>
        </w:rPr>
        <w:t>Общество с ограниченной ответственностью "ЕВРОПАКТРЕЙД" ИНН 3662988370 КПП 366201001, именуемое(-</w:t>
      </w:r>
      <w:proofErr w:type="spellStart"/>
      <w:r>
        <w:rPr>
          <w:sz w:val="22"/>
          <w:szCs w:val="22"/>
        </w:rPr>
        <w:t>ый</w:t>
      </w:r>
      <w:proofErr w:type="spellEnd"/>
      <w:r>
        <w:rPr>
          <w:sz w:val="22"/>
          <w:szCs w:val="22"/>
        </w:rPr>
        <w:t xml:space="preserve">) в дальнейшем "Сторона-1", и </w:t>
      </w:r>
      <w:r w:rsidR="007A33BE">
        <w:rPr>
          <w:sz w:val="22"/>
          <w:szCs w:val="22"/>
        </w:rPr>
        <w:t>_______________________</w:t>
      </w:r>
      <w:r>
        <w:rPr>
          <w:sz w:val="22"/>
          <w:szCs w:val="22"/>
        </w:rPr>
        <w:t>ИНН</w:t>
      </w:r>
      <w:r w:rsidR="007A33BE">
        <w:rPr>
          <w:sz w:val="22"/>
          <w:szCs w:val="22"/>
        </w:rPr>
        <w:t>,</w:t>
      </w:r>
      <w:r>
        <w:rPr>
          <w:sz w:val="22"/>
          <w:szCs w:val="22"/>
        </w:rPr>
        <w:t xml:space="preserve"> КПП, именуемое(-</w:t>
      </w:r>
      <w:proofErr w:type="spellStart"/>
      <w:r>
        <w:rPr>
          <w:sz w:val="22"/>
          <w:szCs w:val="22"/>
        </w:rPr>
        <w:t>ый</w:t>
      </w:r>
      <w:proofErr w:type="spellEnd"/>
      <w:r>
        <w:rPr>
          <w:sz w:val="22"/>
          <w:szCs w:val="22"/>
        </w:rPr>
        <w:t>) в дальнейшем "Сторона-2", вместе именуемые "Стороны", заключили настоящее соглашение о нижеследующем:</w:t>
      </w:r>
    </w:p>
    <w:p w:rsidR="00755B03" w:rsidRDefault="00755B03"/>
    <w:p w:rsidR="00755B03" w:rsidRDefault="00000000">
      <w:pPr>
        <w:jc w:val="center"/>
      </w:pPr>
      <w:r>
        <w:t>1. ТЕРМИНЫ И ОПРЕДЕЛЕНИЯ</w:t>
      </w:r>
    </w:p>
    <w:p w:rsidR="00755B03" w:rsidRDefault="00000000">
      <w:pPr>
        <w:autoSpaceDE w:val="0"/>
        <w:autoSpaceDN w:val="0"/>
        <w:adjustRightInd w:val="0"/>
        <w:jc w:val="both"/>
        <w:rPr>
          <w:sz w:val="22"/>
          <w:szCs w:val="22"/>
        </w:rPr>
      </w:pPr>
      <w:r>
        <w:rPr>
          <w:sz w:val="22"/>
          <w:szCs w:val="22"/>
        </w:rPr>
        <w:t>1.1. Электронный документ (ЭД) – информация в электронно-цифровой форме, пригодная для обработки в программах системы "1</w:t>
      </w:r>
      <w:proofErr w:type="gramStart"/>
      <w:r>
        <w:rPr>
          <w:sz w:val="22"/>
          <w:szCs w:val="22"/>
        </w:rPr>
        <w:t>С:Предприятие</w:t>
      </w:r>
      <w:proofErr w:type="gramEnd"/>
      <w:r>
        <w:rPr>
          <w:sz w:val="22"/>
          <w:szCs w:val="22"/>
        </w:rPr>
        <w:t xml:space="preserve">". Электронный документ может быть формализованным и неформализованным. </w:t>
      </w:r>
    </w:p>
    <w:p w:rsidR="00755B03" w:rsidRDefault="00000000">
      <w:pPr>
        <w:autoSpaceDE w:val="0"/>
        <w:autoSpaceDN w:val="0"/>
        <w:adjustRightInd w:val="0"/>
        <w:jc w:val="both"/>
        <w:rPr>
          <w:sz w:val="22"/>
          <w:szCs w:val="22"/>
        </w:rPr>
      </w:pPr>
      <w:r>
        <w:rPr>
          <w:sz w:val="22"/>
          <w:szCs w:val="22"/>
        </w:rPr>
        <w:t xml:space="preserve">1.2.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755B03" w:rsidRDefault="00000000">
      <w:pPr>
        <w:autoSpaceDE w:val="0"/>
        <w:autoSpaceDN w:val="0"/>
        <w:adjustRightInd w:val="0"/>
        <w:jc w:val="both"/>
        <w:rPr>
          <w:sz w:val="22"/>
          <w:szCs w:val="22"/>
        </w:rPr>
      </w:pPr>
      <w:r>
        <w:rPr>
          <w:sz w:val="22"/>
          <w:szCs w:val="22"/>
        </w:rPr>
        <w:t>1.2.1. 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rsidR="00755B03" w:rsidRDefault="00000000">
      <w:pPr>
        <w:autoSpaceDE w:val="0"/>
        <w:autoSpaceDN w:val="0"/>
        <w:adjustRightInd w:val="0"/>
        <w:jc w:val="both"/>
        <w:rPr>
          <w:sz w:val="22"/>
          <w:szCs w:val="22"/>
        </w:rPr>
      </w:pPr>
      <w:r>
        <w:rPr>
          <w:sz w:val="22"/>
          <w:szCs w:val="22"/>
        </w:rPr>
        <w:t>1.3. Электронный документооборот (ЭДО) – процесс обмена электронными документами, подписанными ЭП, между Сторонами.</w:t>
      </w:r>
    </w:p>
    <w:p w:rsidR="00755B03" w:rsidRDefault="00000000">
      <w:pPr>
        <w:autoSpaceDE w:val="0"/>
        <w:autoSpaceDN w:val="0"/>
        <w:adjustRightInd w:val="0"/>
        <w:jc w:val="both"/>
        <w:rPr>
          <w:sz w:val="22"/>
          <w:szCs w:val="22"/>
        </w:rPr>
      </w:pPr>
      <w:r>
        <w:rPr>
          <w:sz w:val="22"/>
          <w:szCs w:val="22"/>
        </w:rPr>
        <w:t>1.4.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755B03" w:rsidRDefault="00000000">
      <w:pPr>
        <w:autoSpaceDE w:val="0"/>
        <w:autoSpaceDN w:val="0"/>
        <w:adjustRightInd w:val="0"/>
        <w:jc w:val="both"/>
        <w:rPr>
          <w:sz w:val="22"/>
          <w:szCs w:val="22"/>
        </w:rPr>
      </w:pPr>
      <w:r>
        <w:rPr>
          <w:sz w:val="22"/>
          <w:szCs w:val="22"/>
        </w:rPr>
        <w:t>1.5. Направляющая Сторона – Сторона-1 или Сторона-2, направляющая документ в электронном виде по телекоммуникационным каналам связи другой Стороне.</w:t>
      </w:r>
    </w:p>
    <w:p w:rsidR="00755B03" w:rsidRDefault="00000000">
      <w:pPr>
        <w:autoSpaceDE w:val="0"/>
        <w:autoSpaceDN w:val="0"/>
        <w:adjustRightInd w:val="0"/>
        <w:jc w:val="both"/>
        <w:rPr>
          <w:sz w:val="22"/>
          <w:szCs w:val="22"/>
        </w:rPr>
      </w:pPr>
      <w:r>
        <w:rPr>
          <w:sz w:val="22"/>
          <w:szCs w:val="22"/>
        </w:rPr>
        <w:t>1.6. Получающая Сторона – Сторона-1 или Сторона-2, получающая от Направляющей Стороны документ в электронном виде по телекоммуникационным каналам связи.</w:t>
      </w:r>
    </w:p>
    <w:p w:rsidR="00755B03" w:rsidRDefault="00000000">
      <w:pPr>
        <w:autoSpaceDE w:val="0"/>
        <w:autoSpaceDN w:val="0"/>
        <w:adjustRightInd w:val="0"/>
        <w:jc w:val="both"/>
        <w:rPr>
          <w:sz w:val="22"/>
          <w:szCs w:val="22"/>
        </w:rPr>
      </w:pPr>
      <w:r>
        <w:rPr>
          <w:sz w:val="22"/>
          <w:szCs w:val="22"/>
        </w:rPr>
        <w:t>1.7. Документ – общее название документов, которыми обмениваются Стороны настоящего Соглашения.</w:t>
      </w:r>
    </w:p>
    <w:p w:rsidR="00755B03" w:rsidRDefault="00000000">
      <w:pPr>
        <w:rPr>
          <w:sz w:val="22"/>
          <w:szCs w:val="22"/>
        </w:rPr>
      </w:pPr>
      <w:r>
        <w:rPr>
          <w:sz w:val="22"/>
          <w:szCs w:val="22"/>
        </w:rPr>
        <w:t>1.8. Прямой обмен – обмен электронными документами между хозяйствующими субъектами без участия Оператора.</w:t>
      </w:r>
    </w:p>
    <w:p w:rsidR="00755B03" w:rsidRDefault="00755B03"/>
    <w:p w:rsidR="00755B03" w:rsidRDefault="00000000">
      <w:pPr>
        <w:jc w:val="center"/>
      </w:pPr>
      <w:r>
        <w:t>2. ПРЕДМЕТ СОГЛАШЕНИЯ</w:t>
      </w:r>
    </w:p>
    <w:p w:rsidR="00755B03" w:rsidRDefault="00000000">
      <w:pPr>
        <w:jc w:val="both"/>
        <w:rPr>
          <w:sz w:val="22"/>
          <w:szCs w:val="22"/>
        </w:rPr>
      </w:pPr>
      <w:r>
        <w:rPr>
          <w:sz w:val="22"/>
          <w:szCs w:val="22"/>
        </w:rPr>
        <w:t>2.1. Настоящим Соглашением Стороны устанавливают порядок ЭДО во исполнение своих обязательств по всем заключенным между Сторонами договорам и договорам, которые будут заключены в будущем.</w:t>
      </w:r>
    </w:p>
    <w:p w:rsidR="00755B03" w:rsidRDefault="00000000">
      <w:pPr>
        <w:jc w:val="both"/>
        <w:rPr>
          <w:sz w:val="22"/>
          <w:szCs w:val="22"/>
        </w:rPr>
      </w:pPr>
      <w:r>
        <w:rPr>
          <w:sz w:val="22"/>
          <w:szCs w:val="22"/>
        </w:rPr>
        <w:t>2.2. Электронные документы, которыми обмениваются Стороны настоящего Соглашения, могут быть подписаны Квалифицированной ЭП, что предполагает получение Стороной-1 и Стороной-2 сертификатов ключа проверки электронной подписи в аккредитованном удостоверяющем центре в соответствии с нормами Закона № 63-ФЗ (далее – "УЦ");</w:t>
      </w:r>
    </w:p>
    <w:p w:rsidR="00755B03" w:rsidRDefault="00000000">
      <w:pPr>
        <w:jc w:val="both"/>
        <w:rPr>
          <w:sz w:val="22"/>
          <w:szCs w:val="22"/>
        </w:rPr>
      </w:pPr>
      <w:r>
        <w:rPr>
          <w:sz w:val="22"/>
          <w:szCs w:val="22"/>
        </w:rPr>
        <w:t>2.3.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учете",</w:t>
      </w:r>
      <w:r>
        <w:rPr>
          <w:i/>
          <w:sz w:val="22"/>
          <w:szCs w:val="22"/>
        </w:rPr>
        <w:t xml:space="preserve"> </w:t>
      </w:r>
      <w:r>
        <w:rPr>
          <w:sz w:val="22"/>
          <w:szCs w:val="22"/>
        </w:rPr>
        <w:t>приказом Минфина России от 05.02.2021 № 14Н.</w:t>
      </w:r>
    </w:p>
    <w:p w:rsidR="00755B03" w:rsidRDefault="00000000">
      <w:pPr>
        <w:autoSpaceDE w:val="0"/>
        <w:autoSpaceDN w:val="0"/>
        <w:adjustRightInd w:val="0"/>
        <w:jc w:val="both"/>
        <w:outlineLvl w:val="0"/>
        <w:rPr>
          <w:sz w:val="22"/>
          <w:szCs w:val="22"/>
        </w:rPr>
      </w:pPr>
      <w:r>
        <w:rPr>
          <w:sz w:val="22"/>
          <w:szCs w:val="22"/>
        </w:rPr>
        <w:t>2.4. Стороны обязаны информировать друг друга о невозможности обмена документами в электронном виде, подписанными квалифицированной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rsidR="00755B03" w:rsidRDefault="00000000">
      <w:pPr>
        <w:autoSpaceDE w:val="0"/>
        <w:autoSpaceDN w:val="0"/>
        <w:adjustRightInd w:val="0"/>
        <w:jc w:val="both"/>
        <w:outlineLvl w:val="0"/>
      </w:pPr>
      <w:r>
        <w:rPr>
          <w:sz w:val="22"/>
          <w:szCs w:val="22"/>
        </w:rPr>
        <w:t>2.5.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Pr>
          <w:i/>
          <w:sz w:val="22"/>
          <w:szCs w:val="22"/>
        </w:rPr>
        <w:t xml:space="preserve"> </w:t>
      </w:r>
      <w:r>
        <w:rPr>
          <w:sz w:val="22"/>
          <w:szCs w:val="22"/>
        </w:rPr>
        <w:t>форматы.</w:t>
      </w:r>
    </w:p>
    <w:p w:rsidR="00755B03" w:rsidRDefault="00755B03"/>
    <w:p w:rsidR="00755B03" w:rsidRDefault="00000000">
      <w:pPr>
        <w:jc w:val="center"/>
      </w:pPr>
      <w:r>
        <w:t>3. ПРИЗНАНИЕ ЭЛЕКТРОННЫХ ДОКУМЕНТОВ РАВНОЗНАЧНЫМИ ДОКУМЕНТАМ НА БУМАЖНОМ НОСИТЕЛЕ</w:t>
      </w:r>
    </w:p>
    <w:p w:rsidR="00755B03" w:rsidRDefault="00000000">
      <w:pPr>
        <w:autoSpaceDE w:val="0"/>
        <w:autoSpaceDN w:val="0"/>
        <w:adjustRightInd w:val="0"/>
        <w:jc w:val="both"/>
        <w:outlineLvl w:val="0"/>
        <w:rPr>
          <w:sz w:val="22"/>
          <w:szCs w:val="22"/>
        </w:rPr>
      </w:pPr>
      <w:r>
        <w:rPr>
          <w:sz w:val="22"/>
          <w:szCs w:val="22"/>
        </w:rPr>
        <w:t xml:space="preserve">3.1. Электронный документ, подписанный КЭП, содержание которого соответствует требованиям нормативных правовых актов, принимается Сторонами к учету в качестве первичного учетного </w:t>
      </w:r>
      <w:r>
        <w:rPr>
          <w:sz w:val="22"/>
          <w:szCs w:val="22"/>
        </w:rPr>
        <w:lastRenderedPageBreak/>
        <w:t xml:space="preserve">документа, используется в качестве доказательства в судебных разбирательствах, предоставляться в государственные органы по запросам последних. </w:t>
      </w:r>
    </w:p>
    <w:p w:rsidR="00755B03" w:rsidRDefault="00000000">
      <w:pPr>
        <w:jc w:val="both"/>
        <w:rPr>
          <w:sz w:val="22"/>
          <w:szCs w:val="22"/>
        </w:rPr>
      </w:pPr>
      <w:r>
        <w:rPr>
          <w:sz w:val="22"/>
          <w:szCs w:val="22"/>
        </w:rPr>
        <w:t xml:space="preserve">3.2.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Стороной-2 может являться в том числе ее КЭП с идентификатором подписанного документа, т.е. без повторного приложения самого документа, подписанного Стороной-1. </w:t>
      </w:r>
    </w:p>
    <w:p w:rsidR="00755B03" w:rsidRDefault="00000000">
      <w:pPr>
        <w:jc w:val="both"/>
        <w:rPr>
          <w:sz w:val="22"/>
          <w:szCs w:val="22"/>
        </w:rPr>
      </w:pPr>
      <w:r>
        <w:rPr>
          <w:sz w:val="22"/>
          <w:szCs w:val="22"/>
        </w:rPr>
        <w:t>3.3.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rsidR="00755B03" w:rsidRDefault="00755B03"/>
    <w:p w:rsidR="00755B03" w:rsidRDefault="00000000">
      <w:pPr>
        <w:jc w:val="center"/>
      </w:pPr>
      <w:r>
        <w:t>4. ВЗАИМОДЕЙСТВИЕ С УДОСТОВЕРЯЮЩИМ ЦЕНТРОМ И ОПЕРАТОРОМ</w:t>
      </w:r>
    </w:p>
    <w:p w:rsidR="00755B03" w:rsidRDefault="00000000">
      <w:pPr>
        <w:jc w:val="both"/>
        <w:rPr>
          <w:sz w:val="22"/>
          <w:szCs w:val="22"/>
        </w:rPr>
      </w:pPr>
      <w:r>
        <w:rPr>
          <w:sz w:val="22"/>
          <w:szCs w:val="22"/>
        </w:rPr>
        <w:t xml:space="preserve">4.1.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 </w:t>
      </w:r>
    </w:p>
    <w:p w:rsidR="00755B03" w:rsidRDefault="00000000">
      <w:pPr>
        <w:jc w:val="both"/>
        <w:rPr>
          <w:sz w:val="22"/>
          <w:szCs w:val="22"/>
        </w:rPr>
      </w:pPr>
      <w:r>
        <w:rPr>
          <w:sz w:val="22"/>
          <w:szCs w:val="22"/>
        </w:rPr>
        <w:t xml:space="preserve">4.2. В случае изменения учетных данных, содержащихся в заявлении об участии в ЭДО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 </w:t>
      </w:r>
    </w:p>
    <w:p w:rsidR="00755B03" w:rsidRDefault="00755B03">
      <w:pPr>
        <w:jc w:val="both"/>
        <w:rPr>
          <w:sz w:val="22"/>
          <w:szCs w:val="22"/>
        </w:rPr>
      </w:pPr>
    </w:p>
    <w:p w:rsidR="00755B03" w:rsidRDefault="00000000">
      <w:r>
        <w:t>5. ПРОЧИЕ УСЛОВИЯ</w:t>
      </w:r>
    </w:p>
    <w:p w:rsidR="00755B03" w:rsidRDefault="00755B03"/>
    <w:p w:rsidR="00755B03" w:rsidRDefault="00000000">
      <w:pPr>
        <w:rPr>
          <w:sz w:val="22"/>
          <w:szCs w:val="22"/>
        </w:rPr>
      </w:pPr>
      <w:r>
        <w:rPr>
          <w:sz w:val="22"/>
          <w:szCs w:val="22"/>
        </w:rPr>
        <w:t>5.1. В случае несоответствия государственного календаря рабочего времени Стороны-2 (Получающей Стороны) с производственным календарем РФ Сторона-2 (Получающая Сторона) обязана направить извещение о получении Документа в электронном виде не позднее третьего рабочего согласно государственному календарю рабочего времени Стороны-2 (Получающей Стороны).</w:t>
      </w:r>
    </w:p>
    <w:p w:rsidR="00755B03" w:rsidRDefault="00000000">
      <w:pPr>
        <w:rPr>
          <w:sz w:val="22"/>
          <w:szCs w:val="22"/>
        </w:rPr>
      </w:pPr>
      <w:r>
        <w:rPr>
          <w:sz w:val="22"/>
          <w:szCs w:val="22"/>
        </w:rPr>
        <w:t>5.2. В случае если Направляющая сторона не получила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от Направляющей стороны и/или Оператора Направляющей стороны, и при условии отсутствия от Получающей Стороны уведомления согласно п. 2.4. Соглашения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такая форма оригинала документа должна быть зафиксирована приказом руководителя Направляющей Стороны.</w:t>
      </w:r>
    </w:p>
    <w:p w:rsidR="00755B03" w:rsidRDefault="00000000">
      <w:pPr>
        <w:rPr>
          <w:sz w:val="22"/>
          <w:szCs w:val="22"/>
        </w:rPr>
      </w:pPr>
      <w:r>
        <w:rPr>
          <w:sz w:val="22"/>
          <w:szCs w:val="22"/>
        </w:rPr>
        <w:t>5.3. 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настоящее Соглашение считается расторгнутым, без оформления каких-либо Дополнительных соглашений.</w:t>
      </w:r>
    </w:p>
    <w:p w:rsidR="00755B03" w:rsidRDefault="00755B03"/>
    <w:p w:rsidR="00755B03" w:rsidRDefault="00000000">
      <w:r>
        <w:t>6. РАЗРЕШЕНИЕ СПОРОВ</w:t>
      </w:r>
    </w:p>
    <w:p w:rsidR="00755B03" w:rsidRDefault="00000000">
      <w:pPr>
        <w:jc w:val="both"/>
        <w:rPr>
          <w:sz w:val="22"/>
          <w:szCs w:val="22"/>
        </w:rPr>
      </w:pPr>
      <w:r>
        <w:rPr>
          <w:sz w:val="22"/>
          <w:szCs w:val="22"/>
        </w:rPr>
        <w:t>6.1. Квалифицированная ЭП, которой подписан документ, признается действительной до тех пор, пока решением суда не установлено иное.</w:t>
      </w:r>
    </w:p>
    <w:p w:rsidR="00755B03" w:rsidRDefault="00000000">
      <w:pPr>
        <w:jc w:val="both"/>
        <w:rPr>
          <w:sz w:val="22"/>
          <w:szCs w:val="22"/>
        </w:rPr>
      </w:pPr>
      <w:r>
        <w:rPr>
          <w:sz w:val="22"/>
          <w:szCs w:val="22"/>
        </w:rPr>
        <w:t>6.2. 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rsidR="00755B03" w:rsidRDefault="00000000">
      <w:pPr>
        <w:jc w:val="both"/>
        <w:rPr>
          <w:sz w:val="22"/>
          <w:szCs w:val="22"/>
        </w:rPr>
      </w:pPr>
      <w:r>
        <w:rPr>
          <w:sz w:val="22"/>
          <w:szCs w:val="22"/>
        </w:rPr>
        <w:t xml:space="preserve">6.3. Все споры, возникающие в связи с исполнением настоящего Соглашения, рассматриваются тем же судом, которому подсудны споры, вытекающие из обязательств Сторон, определенных в п. 2.1. настоящего Соглашения. </w:t>
      </w:r>
    </w:p>
    <w:p w:rsidR="00755B03" w:rsidRDefault="00755B03"/>
    <w:p w:rsidR="00755B03" w:rsidRDefault="00000000">
      <w:r>
        <w:t>7. ДЕЙСТВИЕ СОГЛАШЕНИЯ И ПОРЯДОК ЕГО ИЗМЕНЕНИЯ</w:t>
      </w:r>
    </w:p>
    <w:p w:rsidR="00755B03" w:rsidRDefault="00755B03">
      <w:pPr>
        <w:jc w:val="both"/>
        <w:rPr>
          <w:sz w:val="22"/>
          <w:szCs w:val="22"/>
        </w:rPr>
      </w:pPr>
    </w:p>
    <w:p w:rsidR="00755B03" w:rsidRDefault="00000000">
      <w:pPr>
        <w:jc w:val="both"/>
        <w:rPr>
          <w:sz w:val="22"/>
          <w:szCs w:val="22"/>
        </w:rPr>
      </w:pPr>
      <w:r>
        <w:rPr>
          <w:sz w:val="22"/>
          <w:szCs w:val="22"/>
        </w:rPr>
        <w:lastRenderedPageBreak/>
        <w:t>7.1. Настоящее Соглашение заключено путем отправки Стороной 1 данного Соглашения в электронном виде с КЭП Стороны 1 и принятия Стороной 2 условий обмена в используемом программном продукте путем подписания КЭП Стороной 2 этого Соглашения в электронном виде.</w:t>
      </w:r>
    </w:p>
    <w:p w:rsidR="00755B03" w:rsidRDefault="00000000">
      <w:pPr>
        <w:jc w:val="both"/>
        <w:rPr>
          <w:sz w:val="22"/>
          <w:szCs w:val="22"/>
        </w:rPr>
      </w:pPr>
      <w:r>
        <w:rPr>
          <w:sz w:val="22"/>
          <w:szCs w:val="22"/>
        </w:rPr>
        <w:t>7.2. Если Сторона 2 не желает стать участником настоящего Соглашения, то она в течение 5 рабочих дней с момента получения настоящего Соглашения должна сообщить Стороне 1 о своем отказе заключать настоящее Соглашение. Отказ может быть направлен любым способом, достоверно свидетельствующем о получении данного отказа уполномоченными лицами Стороны 1.</w:t>
      </w:r>
    </w:p>
    <w:p w:rsidR="00755B03" w:rsidRDefault="00000000">
      <w:pPr>
        <w:jc w:val="both"/>
        <w:rPr>
          <w:sz w:val="22"/>
          <w:szCs w:val="22"/>
        </w:rPr>
      </w:pPr>
      <w:r>
        <w:rPr>
          <w:sz w:val="22"/>
          <w:szCs w:val="22"/>
        </w:rPr>
        <w:t>7.3. Соглашение заключено сроком на 12 месяцев. Если ни одна из Сторон не выразит желания расторгнуть настоящее Соглашение письменно уведомив об этом другую Сторону не менее чем за 30 календарных дней до истечения срока действия Соглашения, то оно считается продленным на аналогичный срок.</w:t>
      </w:r>
    </w:p>
    <w:p w:rsidR="00755B03" w:rsidRDefault="00000000">
      <w:pPr>
        <w:jc w:val="both"/>
        <w:rPr>
          <w:sz w:val="22"/>
          <w:szCs w:val="22"/>
        </w:rPr>
      </w:pPr>
      <w:r>
        <w:rPr>
          <w:sz w:val="22"/>
          <w:szCs w:val="22"/>
        </w:rPr>
        <w:t xml:space="preserve">7.4. Соглашение автоматически прекращает свое действие досрочно в случае, если хотя бы одна из Сторон на протяжении одного месяца не будет иметь действительного сертификата КЭП, выданного УЦ. </w:t>
      </w:r>
    </w:p>
    <w:sectPr w:rsidR="00755B03">
      <w:pgSz w:w="11906" w:h="16838"/>
      <w:pgMar w:top="868" w:right="532" w:bottom="1134" w:left="14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default"/>
    <w:sig w:usb0="00000003" w:usb1="288F0000" w:usb2="0000000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5BE"/>
    <w:rsid w:val="000042BB"/>
    <w:rsid w:val="000332F4"/>
    <w:rsid w:val="000338E5"/>
    <w:rsid w:val="00050331"/>
    <w:rsid w:val="000560CE"/>
    <w:rsid w:val="000849C8"/>
    <w:rsid w:val="00090412"/>
    <w:rsid w:val="000A1B29"/>
    <w:rsid w:val="000C0A92"/>
    <w:rsid w:val="000C30D0"/>
    <w:rsid w:val="000C47A8"/>
    <w:rsid w:val="000D6E77"/>
    <w:rsid w:val="000D7519"/>
    <w:rsid w:val="000E4980"/>
    <w:rsid w:val="0010007F"/>
    <w:rsid w:val="001028D7"/>
    <w:rsid w:val="00105638"/>
    <w:rsid w:val="00146540"/>
    <w:rsid w:val="00164F01"/>
    <w:rsid w:val="0016614B"/>
    <w:rsid w:val="00170744"/>
    <w:rsid w:val="00185B1F"/>
    <w:rsid w:val="00193943"/>
    <w:rsid w:val="001A183F"/>
    <w:rsid w:val="001A53EB"/>
    <w:rsid w:val="001B7353"/>
    <w:rsid w:val="001C7D79"/>
    <w:rsid w:val="001D5074"/>
    <w:rsid w:val="001F71EC"/>
    <w:rsid w:val="00211740"/>
    <w:rsid w:val="00234276"/>
    <w:rsid w:val="002352D0"/>
    <w:rsid w:val="0023713C"/>
    <w:rsid w:val="00255D60"/>
    <w:rsid w:val="00276376"/>
    <w:rsid w:val="00293049"/>
    <w:rsid w:val="0029631B"/>
    <w:rsid w:val="002E4654"/>
    <w:rsid w:val="002F6ED4"/>
    <w:rsid w:val="00302B47"/>
    <w:rsid w:val="00304831"/>
    <w:rsid w:val="00322B4A"/>
    <w:rsid w:val="00331DD2"/>
    <w:rsid w:val="00331E54"/>
    <w:rsid w:val="00347BF7"/>
    <w:rsid w:val="00352C89"/>
    <w:rsid w:val="003531F0"/>
    <w:rsid w:val="0035663A"/>
    <w:rsid w:val="00361842"/>
    <w:rsid w:val="003666C6"/>
    <w:rsid w:val="0037699D"/>
    <w:rsid w:val="00377119"/>
    <w:rsid w:val="00382CBC"/>
    <w:rsid w:val="00384AB5"/>
    <w:rsid w:val="00386CB1"/>
    <w:rsid w:val="003900F6"/>
    <w:rsid w:val="00394C2E"/>
    <w:rsid w:val="003A0D2D"/>
    <w:rsid w:val="003B5E4D"/>
    <w:rsid w:val="003C41B2"/>
    <w:rsid w:val="003C5F8F"/>
    <w:rsid w:val="003C6DEF"/>
    <w:rsid w:val="003F20AD"/>
    <w:rsid w:val="003F7D70"/>
    <w:rsid w:val="00401695"/>
    <w:rsid w:val="00403A8A"/>
    <w:rsid w:val="0041368A"/>
    <w:rsid w:val="0041393A"/>
    <w:rsid w:val="0042165A"/>
    <w:rsid w:val="00424EFE"/>
    <w:rsid w:val="00443911"/>
    <w:rsid w:val="00447BB2"/>
    <w:rsid w:val="0046465F"/>
    <w:rsid w:val="00473456"/>
    <w:rsid w:val="004759A3"/>
    <w:rsid w:val="004852F5"/>
    <w:rsid w:val="00486AE7"/>
    <w:rsid w:val="00491937"/>
    <w:rsid w:val="00496AFA"/>
    <w:rsid w:val="004970A1"/>
    <w:rsid w:val="004B338E"/>
    <w:rsid w:val="004C1939"/>
    <w:rsid w:val="004D6E35"/>
    <w:rsid w:val="004E0C27"/>
    <w:rsid w:val="004E135B"/>
    <w:rsid w:val="005135E8"/>
    <w:rsid w:val="005235C9"/>
    <w:rsid w:val="005326D3"/>
    <w:rsid w:val="0053378B"/>
    <w:rsid w:val="005443DD"/>
    <w:rsid w:val="00566678"/>
    <w:rsid w:val="00573CDC"/>
    <w:rsid w:val="00575E2B"/>
    <w:rsid w:val="00594684"/>
    <w:rsid w:val="005B61E3"/>
    <w:rsid w:val="005C4DE2"/>
    <w:rsid w:val="005C4F4D"/>
    <w:rsid w:val="005E2D07"/>
    <w:rsid w:val="005F0D5B"/>
    <w:rsid w:val="006067CD"/>
    <w:rsid w:val="00610B00"/>
    <w:rsid w:val="0061208A"/>
    <w:rsid w:val="00616246"/>
    <w:rsid w:val="00637916"/>
    <w:rsid w:val="00643A0F"/>
    <w:rsid w:val="0066615F"/>
    <w:rsid w:val="006A5533"/>
    <w:rsid w:val="006B58A3"/>
    <w:rsid w:val="006D1F2F"/>
    <w:rsid w:val="006F6E90"/>
    <w:rsid w:val="0070121C"/>
    <w:rsid w:val="0070194B"/>
    <w:rsid w:val="00750489"/>
    <w:rsid w:val="00750493"/>
    <w:rsid w:val="00755B03"/>
    <w:rsid w:val="00777B2B"/>
    <w:rsid w:val="0079025E"/>
    <w:rsid w:val="00794090"/>
    <w:rsid w:val="007A33BE"/>
    <w:rsid w:val="007A349C"/>
    <w:rsid w:val="007A4D9C"/>
    <w:rsid w:val="007D2E49"/>
    <w:rsid w:val="007D7FA0"/>
    <w:rsid w:val="008107AD"/>
    <w:rsid w:val="00815AE5"/>
    <w:rsid w:val="00815C23"/>
    <w:rsid w:val="00835C5C"/>
    <w:rsid w:val="00836242"/>
    <w:rsid w:val="00860B32"/>
    <w:rsid w:val="00863177"/>
    <w:rsid w:val="00865537"/>
    <w:rsid w:val="00881EBC"/>
    <w:rsid w:val="008B5280"/>
    <w:rsid w:val="008B58EF"/>
    <w:rsid w:val="008C6001"/>
    <w:rsid w:val="008D067B"/>
    <w:rsid w:val="008D1470"/>
    <w:rsid w:val="008D62B2"/>
    <w:rsid w:val="008E1EDD"/>
    <w:rsid w:val="008F157E"/>
    <w:rsid w:val="008F4B36"/>
    <w:rsid w:val="009038F2"/>
    <w:rsid w:val="00912DCD"/>
    <w:rsid w:val="00924638"/>
    <w:rsid w:val="00925AC8"/>
    <w:rsid w:val="009313A3"/>
    <w:rsid w:val="00955958"/>
    <w:rsid w:val="00963782"/>
    <w:rsid w:val="009708E8"/>
    <w:rsid w:val="009977A6"/>
    <w:rsid w:val="009C41BE"/>
    <w:rsid w:val="009F13F3"/>
    <w:rsid w:val="00A2076E"/>
    <w:rsid w:val="00A4350F"/>
    <w:rsid w:val="00A74D5D"/>
    <w:rsid w:val="00A77170"/>
    <w:rsid w:val="00A80AAD"/>
    <w:rsid w:val="00A857F7"/>
    <w:rsid w:val="00A968E8"/>
    <w:rsid w:val="00A96CC7"/>
    <w:rsid w:val="00AB230C"/>
    <w:rsid w:val="00AC5EE5"/>
    <w:rsid w:val="00AC7FD6"/>
    <w:rsid w:val="00AE60D5"/>
    <w:rsid w:val="00AF133E"/>
    <w:rsid w:val="00B03AC5"/>
    <w:rsid w:val="00B13DEA"/>
    <w:rsid w:val="00B213E1"/>
    <w:rsid w:val="00B3411B"/>
    <w:rsid w:val="00B36292"/>
    <w:rsid w:val="00B36DA2"/>
    <w:rsid w:val="00B46BB1"/>
    <w:rsid w:val="00B65BD5"/>
    <w:rsid w:val="00B80566"/>
    <w:rsid w:val="00B83497"/>
    <w:rsid w:val="00B866C2"/>
    <w:rsid w:val="00BB418F"/>
    <w:rsid w:val="00BD5AAD"/>
    <w:rsid w:val="00BE43D4"/>
    <w:rsid w:val="00C11C73"/>
    <w:rsid w:val="00C345C7"/>
    <w:rsid w:val="00C61D7E"/>
    <w:rsid w:val="00C75D91"/>
    <w:rsid w:val="00C82D32"/>
    <w:rsid w:val="00C8356A"/>
    <w:rsid w:val="00C856B9"/>
    <w:rsid w:val="00C922A3"/>
    <w:rsid w:val="00CB4A8C"/>
    <w:rsid w:val="00CC6D0E"/>
    <w:rsid w:val="00D02A6B"/>
    <w:rsid w:val="00D1666A"/>
    <w:rsid w:val="00D350EF"/>
    <w:rsid w:val="00D35759"/>
    <w:rsid w:val="00D70D2D"/>
    <w:rsid w:val="00D71474"/>
    <w:rsid w:val="00D71E03"/>
    <w:rsid w:val="00D7478A"/>
    <w:rsid w:val="00D85032"/>
    <w:rsid w:val="00D9506A"/>
    <w:rsid w:val="00DA03BE"/>
    <w:rsid w:val="00DB1A2A"/>
    <w:rsid w:val="00DB7AB5"/>
    <w:rsid w:val="00DD1904"/>
    <w:rsid w:val="00DD637C"/>
    <w:rsid w:val="00E071DA"/>
    <w:rsid w:val="00E11D9E"/>
    <w:rsid w:val="00E325D1"/>
    <w:rsid w:val="00E47B0F"/>
    <w:rsid w:val="00E51C83"/>
    <w:rsid w:val="00E5698B"/>
    <w:rsid w:val="00E63B07"/>
    <w:rsid w:val="00E8200E"/>
    <w:rsid w:val="00EA6FD7"/>
    <w:rsid w:val="00EB1C56"/>
    <w:rsid w:val="00EB233A"/>
    <w:rsid w:val="00ED0446"/>
    <w:rsid w:val="00EE15E5"/>
    <w:rsid w:val="00EF276D"/>
    <w:rsid w:val="00F01F13"/>
    <w:rsid w:val="00F10876"/>
    <w:rsid w:val="00F277D0"/>
    <w:rsid w:val="00F37A90"/>
    <w:rsid w:val="00F53DC6"/>
    <w:rsid w:val="00F550B9"/>
    <w:rsid w:val="00F636B1"/>
    <w:rsid w:val="00F64EEB"/>
    <w:rsid w:val="00F65B0B"/>
    <w:rsid w:val="00F67C03"/>
    <w:rsid w:val="00FC1583"/>
    <w:rsid w:val="00FC75BE"/>
    <w:rsid w:val="00FD0735"/>
    <w:rsid w:val="00FD2F26"/>
    <w:rsid w:val="00FD4029"/>
    <w:rsid w:val="428F7D28"/>
    <w:rsid w:val="54465F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B5563C3"/>
  <w15:docId w15:val="{4916CBF5-5CA0-6746-82F6-004C1018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qFormat/>
    <w:rPr>
      <w:rFonts w:cs="Times New Roman"/>
      <w:sz w:val="16"/>
      <w:szCs w:val="16"/>
    </w:rPr>
  </w:style>
  <w:style w:type="paragraph" w:styleId="a4">
    <w:name w:val="Balloon Text"/>
    <w:basedOn w:val="a"/>
    <w:link w:val="a5"/>
    <w:uiPriority w:val="99"/>
    <w:qFormat/>
    <w:rPr>
      <w:rFonts w:ascii="Tahoma" w:hAnsi="Tahoma" w:cs="Tahoma"/>
      <w:sz w:val="16"/>
      <w:szCs w:val="16"/>
    </w:rPr>
  </w:style>
  <w:style w:type="paragraph" w:styleId="a6">
    <w:name w:val="annotation text"/>
    <w:basedOn w:val="a"/>
    <w:link w:val="a7"/>
    <w:uiPriority w:val="99"/>
    <w:semiHidden/>
    <w:qFormat/>
    <w:rPr>
      <w:sz w:val="20"/>
      <w:szCs w:val="20"/>
    </w:rPr>
  </w:style>
  <w:style w:type="paragraph" w:styleId="a8">
    <w:name w:val="annotation subject"/>
    <w:basedOn w:val="a6"/>
    <w:next w:val="a6"/>
    <w:link w:val="a9"/>
    <w:uiPriority w:val="99"/>
    <w:semiHidden/>
    <w:qFormat/>
    <w:rPr>
      <w:b/>
      <w:bCs/>
    </w:rPr>
  </w:style>
  <w:style w:type="paragraph" w:styleId="aa">
    <w:name w:val="Document Map"/>
    <w:basedOn w:val="a"/>
    <w:link w:val="ab"/>
    <w:uiPriority w:val="99"/>
    <w:semiHidden/>
    <w:pPr>
      <w:shd w:val="clear" w:color="auto" w:fill="000080"/>
    </w:pPr>
    <w:rPr>
      <w:rFonts w:ascii="Tahoma" w:hAnsi="Tahoma"/>
      <w:sz w:val="20"/>
      <w:szCs w:val="20"/>
    </w:rPr>
  </w:style>
  <w:style w:type="table" w:styleId="ac">
    <w:name w:val="Table Grid"/>
    <w:basedOn w:val="a1"/>
    <w:uiPriority w:val="99"/>
    <w:qFormat/>
    <w:rPr>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uiPriority w:val="99"/>
    <w:semiHidden/>
    <w:qFormat/>
    <w:rPr>
      <w:sz w:val="0"/>
      <w:szCs w:val="0"/>
    </w:rPr>
  </w:style>
  <w:style w:type="character" w:customStyle="1" w:styleId="a5">
    <w:name w:val="Текст выноски Знак"/>
    <w:link w:val="a4"/>
    <w:uiPriority w:val="99"/>
    <w:qFormat/>
    <w:locked/>
    <w:rPr>
      <w:rFonts w:ascii="Tahoma" w:hAnsi="Tahoma" w:cs="Tahoma"/>
      <w:sz w:val="16"/>
      <w:szCs w:val="16"/>
    </w:rPr>
  </w:style>
  <w:style w:type="character" w:customStyle="1" w:styleId="a7">
    <w:name w:val="Текст примечания Знак"/>
    <w:link w:val="a6"/>
    <w:uiPriority w:val="99"/>
    <w:semiHidden/>
    <w:qFormat/>
    <w:rPr>
      <w:sz w:val="20"/>
      <w:szCs w:val="20"/>
    </w:rPr>
  </w:style>
  <w:style w:type="character" w:customStyle="1" w:styleId="a9">
    <w:name w:val="Тема примечания Знак"/>
    <w:link w:val="a8"/>
    <w:uiPriority w:val="99"/>
    <w:semiHidden/>
    <w:qFormat/>
    <w:rPr>
      <w:b/>
      <w:bCs/>
      <w:sz w:val="20"/>
      <w:szCs w:val="20"/>
    </w:rPr>
  </w:style>
  <w:style w:type="character" w:customStyle="1" w:styleId="ab">
    <w:name w:val="Схема документа Знак"/>
    <w:link w:val="aa"/>
    <w:uiPriority w:val="99"/>
    <w:semiHidden/>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1303</Words>
  <Characters>7429</Characters>
  <Application>Microsoft Office Word</Application>
  <DocSecurity>0</DocSecurity>
  <Lines>61</Lines>
  <Paragraphs>17</Paragraphs>
  <ScaleCrop>false</ScaleCrop>
  <Company>1C</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ОБ ОРГАНИЗАЦИИ ЭЛЕКТРОННОГО ВЗАИМОДЕЙСТВИЯ</dc:title>
  <dc:creator>1С</dc:creator>
  <cp:lastModifiedBy>Ирина Брылева</cp:lastModifiedBy>
  <cp:revision>6</cp:revision>
  <cp:lastPrinted>2011-07-08T07:18:00Z</cp:lastPrinted>
  <dcterms:created xsi:type="dcterms:W3CDTF">2018-04-04T07:20:00Z</dcterms:created>
  <dcterms:modified xsi:type="dcterms:W3CDTF">2023-10-12T11:14:00Z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FE0D7DBD6D6641D9ADB58B0D86786F07</vt:lpwstr>
  </property>
</Properties>
</file>